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ind w:left="289" w:hanging="289"/>
              <w:jc w:val="center"/>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5153028</wp:posOffset>
                      </wp:positionH>
                      <wp:positionV relativeFrom="paragraph">
                        <wp:posOffset>85727</wp:posOffset>
                      </wp:positionV>
                      <wp:extent cx="361315" cy="348005"/>
                      <wp:effectExtent b="0" l="0" r="0" t="0"/>
                      <wp:wrapNone/>
                      <wp:docPr id="51"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5153028</wp:posOffset>
                      </wp:positionH>
                      <wp:positionV relativeFrom="paragraph">
                        <wp:posOffset>85727</wp:posOffset>
                      </wp:positionV>
                      <wp:extent cx="361315" cy="348005"/>
                      <wp:effectExtent b="0" l="0" r="0" t="0"/>
                      <wp:wrapNone/>
                      <wp:docPr id="5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61315" cy="3480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1800225</wp:posOffset>
                      </wp:positionH>
                      <wp:positionV relativeFrom="paragraph">
                        <wp:posOffset>85727</wp:posOffset>
                      </wp:positionV>
                      <wp:extent cx="361315" cy="348005"/>
                      <wp:effectExtent b="0" l="0" r="0" t="0"/>
                      <wp:wrapNone/>
                      <wp:docPr id="50"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1800225</wp:posOffset>
                      </wp:positionH>
                      <wp:positionV relativeFrom="paragraph">
                        <wp:posOffset>85727</wp:posOffset>
                      </wp:positionV>
                      <wp:extent cx="361315" cy="348005"/>
                      <wp:effectExtent b="0" l="0" r="0" t="0"/>
                      <wp:wrapNone/>
                      <wp:docPr id="50"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61315" cy="34800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w:t>
            </w:r>
            <w:r w:rsidDel="00000000" w:rsidR="00000000" w:rsidRPr="00000000">
              <w:rPr>
                <w:rFonts w:ascii="Arial" w:cs="Arial" w:eastAsia="Arial" w:hAnsi="Arial"/>
                <w:sz w:val="24"/>
                <w:szCs w:val="24"/>
                <w:rtl w:val="0"/>
              </w:rPr>
              <w:t xml:space="preserve">3</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sz w:val="24"/>
                <w:szCs w:val="24"/>
                <w:rtl w:val="0"/>
              </w:rPr>
              <w:t xml:space="preserve">4162.010.26.1.5410-2025</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sz w:val="24"/>
                <w:szCs w:val="24"/>
                <w:rtl w:val="0"/>
              </w:rPr>
              <w:t xml:space="preserve">JUAN FELIPE DELGADO RODRIGUEZ</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sz w:val="24"/>
                <w:szCs w:val="24"/>
                <w:rtl w:val="0"/>
              </w:rPr>
              <w:t xml:space="preserve">1.144.163.352</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03</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r>
        <w:trPr>
          <w:cantSplit w:val="0"/>
          <w:trHeight w:val="3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w:t>
            </w:r>
            <w:r w:rsidDel="00000000" w:rsidR="00000000" w:rsidRPr="00000000">
              <w:rPr>
                <w:rFonts w:ascii="Arial" w:cs="Arial" w:eastAsia="Arial" w:hAnsi="Arial"/>
                <w:sz w:val="24"/>
                <w:szCs w:val="24"/>
                <w:rtl w:val="0"/>
              </w:rPr>
              <w:t xml:space="preserve">DIEZ MILLONES DOSCIENTOS CUARENTA Y DOS MIL PESOS M/CTE ($10.242.000)</w:t>
            </w:r>
            <w:r w:rsidDel="00000000" w:rsidR="00000000" w:rsidRPr="00000000">
              <w:rPr>
                <w:rFonts w:ascii="Arial" w:cs="Arial" w:eastAsia="Arial" w:hAnsi="Arial"/>
                <w:color w:val="000000"/>
                <w:sz w:val="24"/>
                <w:szCs w:val="24"/>
                <w:rtl w:val="0"/>
              </w:rPr>
              <w:t xml:space="preserve">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Adición:</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10.242.000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$10.242.000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$6.828.000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1077773719</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8823295069</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SA</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06/12/2025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 2025</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w:t>
            </w:r>
            <w:r w:rsidDel="00000000" w:rsidR="00000000" w:rsidRPr="00000000">
              <w:rPr>
                <w:rFonts w:ascii="Arial" w:cs="Arial" w:eastAsia="Arial" w:hAnsi="Arial"/>
                <w:color w:val="222222"/>
                <w:sz w:val="24"/>
                <w:szCs w:val="24"/>
                <w:highlight w:val="white"/>
                <w:rtl w:val="0"/>
              </w:rPr>
              <w:t xml:space="preserve"> El contratista adjunta seguridad social del mes de noviembre de 2025 para el pago de esta cuenta; según decreto 1273 de 23/07/2018 </w:t>
            </w:r>
            <w:r w:rsidDel="00000000" w:rsidR="00000000" w:rsidRPr="00000000">
              <w:rPr>
                <w:rFonts w:ascii="Arial" w:cs="Arial" w:eastAsia="Arial" w:hAnsi="Arial"/>
                <w:sz w:val="24"/>
                <w:szCs w:val="24"/>
                <w:rtl w:val="0"/>
              </w:rPr>
              <w:t xml:space="preserve">que permite efectuar la cancelación mes vencido de la Seguridad social. Se compromete a pagar la seguridad social correspondiente.</w:t>
            </w:r>
          </w:p>
          <w:p w:rsidR="00000000" w:rsidDel="00000000" w:rsidP="00000000" w:rsidRDefault="00000000" w:rsidRPr="00000000" w14:paraId="00000076">
            <w:pPr>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77">
            <w:pPr>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78">
            <w:pPr>
              <w:rPr>
                <w:rFonts w:ascii="Arial" w:cs="Arial" w:eastAsia="Arial" w:hAnsi="Arial"/>
                <w:color w:val="222222"/>
                <w:sz w:val="24"/>
                <w:szCs w:val="24"/>
                <w:highlight w:val="white"/>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sz w:val="24"/>
                <w:szCs w:val="24"/>
                <w:rtl w:val="0"/>
              </w:rPr>
              <w:t xml:space="preserve">4162.010.26.1.5410-2025 </w:t>
            </w:r>
            <w:r w:rsidDel="00000000" w:rsidR="00000000" w:rsidRPr="00000000">
              <w:rPr>
                <w:rFonts w:ascii="Arial" w:cs="Arial" w:eastAsia="Arial" w:hAnsi="Arial"/>
                <w:color w:val="000000"/>
                <w:sz w:val="24"/>
                <w:szCs w:val="24"/>
                <w:rtl w:val="0"/>
              </w:rPr>
              <w:t xml:space="preserve">y cuyo objeto es. </w:t>
            </w: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1.Producir y editar contenidos audiovisuales de actividades, programas y eventos relacionados al proceso de categorización y priorización de los equipamientos deportivos y recreativos de la Secretaría del Deporte y la Recreación.</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proceso integral de producción de contenidos audiovisuales para las actividades estratégicas de la Secretaría del Deporte, desde la planeación hasta la entrega de piezas finales. Apoyó la estrategia “Antes y Después” en el Polideportivo Ciudad 2000, articulando acciones con el equipo de diseño y los técnicos de infraestructura. Apoyó la consolidación de paquetes de imágenes que evidencian los resultados del proyecto Invertir para Crecer. Apoyó el registro fotográfico y audiovisual para la promoción de las carreras institucionales en articulación con el diario El Tiempo. Realizó la verificación que todos los productos cumplieran con los lineamientos técnicos e institucionales vigentes.</w:t>
            </w:r>
          </w:p>
          <w:p w:rsidR="00000000" w:rsidDel="00000000" w:rsidP="00000000" w:rsidRDefault="00000000" w:rsidRPr="00000000" w14:paraId="00000087">
            <w:pPr>
              <w:ind w:left="206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Realizar toma fotográfica de actividades, programas y eventos de la SDR.</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la grabación y edición de contenidos audiovisuales para la fase final de los Juegos Intercolegiados, garantizando piezas dinámicas y de alto impacto. Realizó material audiovisual para la promoción de la Ciclovida en el oriente de Cali, específicamente en la estación Morichal. Apoyó la corrección de color, la selección de planos y el ajuste de ritmos narrativos para optimizar el contenido. Apoyó la organización de los archivos fuente y los proyectos de edición para asegurar trazabilidad y respaldo. Entregué productos listos para su publicación en plataformas digitales.</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Cubrir eventos y actividades de la Secretaría del Deporte y la Recreación.</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llevó a cabo el registro fotográfico profesional de las finales del KIA Open WTA 125 Santiago de Cali, documentando momentos deportivos de alto nivel. Realizó imágenes representativas de los partidos finales del Abierto de Tenis, priorizando calidad técnica y narrativa visual. Apoyó la clasificación y curaduría del material para su uso en redes sociales y memoria institucional. Apoyó la organización de los archivos en repositorios digitales institucionales para fácil acceso. </w:t>
            </w:r>
          </w:p>
          <w:p w:rsidR="00000000" w:rsidDel="00000000" w:rsidP="00000000" w:rsidRDefault="00000000" w:rsidRPr="00000000" w14:paraId="0000008F">
            <w:pPr>
              <w:ind w:left="151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Realizar guiones y planeación de productos de las actividades, programas y eventos de la Secretaría del Deporte y la Recreación.</w:t>
            </w:r>
          </w:p>
          <w:p w:rsidR="00000000" w:rsidDel="00000000" w:rsidP="00000000" w:rsidRDefault="00000000" w:rsidRPr="00000000" w14:paraId="0000009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cubrimiento periodístico de la jornada de Ciclovida en las Canchas Panamericanas, generando contenido oportuno y atractivo. Realizó la producción de material audiovisual para el producto “Postales de la Carrera Río Run 5K”, destacando la experiencia de los participantes. Apoyó la coordinación logística con los equipos de terreno para garantizar un registro fluido y ordenado. Apoyó la selección de los momentos más representativos para fortalecer la narrativa visual de cada jornada. Consolidó entregables ajustados a las necesidades de difusión institucional</w:t>
            </w:r>
          </w:p>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5. Asistir a las reuniones de planeación o consejos de redacción que dirija la líder de comunicaciones.</w:t>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guiones estratégicos para productos audiovisuales orientados a la rendición de cuentas de la Secretaría. Realizó el guion del video de balance 2025 de la Subsecretaría de Infraestructura, estructurando logros, cifras y mensajes clave. Apoyé la construcción del guion para la jornada de Ciclovida en la estación Morichal, comuna 15. Apoyó la planeación técnica y narrativa de los contenidos para optimizar los tiempos de producción. Apoyó la verificación de la coherencia de los mensajes con los lineamientos de comunicación institucional.</w:t>
            </w:r>
          </w:p>
          <w:p w:rsidR="00000000" w:rsidDel="00000000" w:rsidP="00000000" w:rsidRDefault="00000000" w:rsidRPr="00000000" w14:paraId="00000097">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6. Asistir a las reuniones de planeación o consejos de redacción que dirija la líder de comunicaciones.</w:t>
            </w:r>
          </w:p>
          <w:p w:rsidR="00000000" w:rsidDel="00000000" w:rsidP="00000000" w:rsidRDefault="00000000" w:rsidRPr="00000000" w14:paraId="0000009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los consejos de redacció enfocados en la planificación de contenidos estratégicos. Participó en la definición de proyectos y videos que evidenciarán la gestión de la Secretaría del Deporte durante el año 2025. Apoyó la priorización de temas, cronogramas y líneas narrativas para los productos audiovisuales. Aportó sugerencias técnicas desde el enfoque audiovisual para fortalecer la calidad de las piezas finales. </w:t>
            </w:r>
          </w:p>
          <w:p w:rsidR="00000000" w:rsidDel="00000000" w:rsidP="00000000" w:rsidRDefault="00000000" w:rsidRPr="00000000" w14:paraId="0000009B">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ind w:left="206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hyperlink r:id="rId8">
              <w:r w:rsidDel="00000000" w:rsidR="00000000" w:rsidRPr="00000000">
                <w:rPr>
                  <w:rFonts w:ascii="Arial" w:cs="Arial" w:eastAsia="Arial" w:hAnsi="Arial"/>
                  <w:color w:val="0000ff"/>
                  <w:sz w:val="24"/>
                  <w:szCs w:val="24"/>
                  <w:u w:val="single"/>
                  <w:rtl w:val="0"/>
                </w:rPr>
                <w:t xml:space="preserve">https://drive.google.com/drive/folders/14wHXTFYx_LobmN79w2lcKAE9t9koQnOo?usp=drive_link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F">
            <w:pPr>
              <w:jc w:val="both"/>
              <w:rPr>
                <w:rFonts w:ascii="Arial" w:cs="Arial" w:eastAsia="Arial" w:hAnsi="Arial"/>
                <w:sz w:val="24"/>
                <w:szCs w:val="24"/>
                <w:highlight w:val="yellow"/>
              </w:rPr>
            </w:pP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widowControl w:val="0"/>
              <w:spacing w:line="271" w:lineRule="auto"/>
              <w:ind w:right="18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recibo a satisfacción por parte de la ALCALDÍA DE SANTIAGO DE CALI - SECRETARÍA DEL DEPORTE Y LA RECREACIÓN de los servicios prestados pactados en el contrato No. 4162.010.26.1.5410 de 2025.</w:t>
            </w:r>
            <w:r w:rsidDel="00000000" w:rsidR="00000000" w:rsidRPr="00000000">
              <w:rPr>
                <w:rtl w:val="0"/>
              </w:rPr>
            </w:r>
          </w:p>
        </w:tc>
      </w:tr>
      <w:tr>
        <w:trPr>
          <w:cantSplit w:val="1"/>
          <w:trHeight w:val="55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widowControl w:val="0"/>
              <w:spacing w:before="130" w:line="265"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La contratista a la fecha del presente informe no posee a su cargo elementos devolutivos de propiedad de la ALCALDÍA DE SANTIAGO DE CALI -  SECRETARÍA DEL DEPORTE Y LA RECREACIÓN , que hayan sido entregados por este organismo para el desempeño de sus actividades.  Así mismo se encuentra a Paz y Salvo con el archivo de gestión documental y el sistema de gestión documental.</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numPr>
                <w:ilvl w:val="0"/>
                <w:numId w:val="2"/>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66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color w:val="000000"/>
                <w:sz w:val="24"/>
                <w:szCs w:val="24"/>
                <w:rtl w:val="0"/>
              </w:rPr>
              <w:t xml:space="preserve"> recomendaciones para el presente período.</w:t>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3">
            <w:pPr>
              <w:numPr>
                <w:ilvl w:val="0"/>
                <w:numId w:val="2"/>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182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sz w:val="24"/>
                <w:szCs w:val="24"/>
              </w:rPr>
            </w:pPr>
            <w:bookmarkStart w:colFirst="0" w:colLast="0" w:name="_heading=h.wspq0rmle7d8" w:id="1"/>
            <w:bookmarkEnd w:id="1"/>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w:t>
            </w:r>
          </w:p>
          <w:p w:rsidR="00000000" w:rsidDel="00000000" w:rsidP="00000000" w:rsidRDefault="00000000" w:rsidRPr="00000000" w14:paraId="000000B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KRYSTHIAN DAVID RAMIREZ MUNEVAR</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36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color w:val="000000"/>
                <w:sz w:val="24"/>
                <w:szCs w:val="24"/>
                <w:rtl w:val="0"/>
              </w:rPr>
              <w:t xml:space="preserve">/dic/2025</w:t>
            </w:r>
          </w:p>
        </w:tc>
      </w:tr>
    </w:tbl>
    <w:p w:rsidR="00000000" w:rsidDel="00000000" w:rsidP="00000000" w:rsidRDefault="00000000" w:rsidRPr="00000000" w14:paraId="000000C2">
      <w:pPr>
        <w:rPr>
          <w:rFonts w:ascii="Arial" w:cs="Arial" w:eastAsia="Arial" w:hAnsi="Arial"/>
          <w:sz w:val="24"/>
          <w:szCs w:val="24"/>
        </w:rPr>
      </w:pPr>
      <w:bookmarkStart w:colFirst="0" w:colLast="0" w:name="_heading=h.sdx1gqhek21m" w:id="2"/>
      <w:bookmarkEnd w:id="2"/>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5695950</wp:posOffset>
            </wp:positionH>
            <wp:positionV relativeFrom="paragraph">
              <wp:posOffset>-940765</wp:posOffset>
            </wp:positionV>
            <wp:extent cx="637540" cy="622300"/>
            <wp:effectExtent b="0" l="0" r="0" t="0"/>
            <wp:wrapNone/>
            <wp:docPr descr="C:\Users\Deportes\AppData\Local\Microsoft\Windows\INetCache\Content.Word\Firna.jpg" id="52" name="image2.jpg"/>
            <a:graphic>
              <a:graphicData uri="http://schemas.openxmlformats.org/drawingml/2006/picture">
                <pic:pic>
                  <pic:nvPicPr>
                    <pic:cNvPr descr="C:\Users\Deportes\AppData\Local\Microsoft\Windows\INetCache\Content.Word\Firna.jpg" id="0" name="image2.jpg"/>
                    <pic:cNvPicPr preferRelativeResize="0"/>
                  </pic:nvPicPr>
                  <pic:blipFill>
                    <a:blip r:embed="rId9"/>
                    <a:srcRect b="0" l="0" r="0" t="0"/>
                    <a:stretch>
                      <a:fillRect/>
                    </a:stretch>
                  </pic:blipFill>
                  <pic:spPr>
                    <a:xfrm>
                      <a:off x="0" y="0"/>
                      <a:ext cx="637540" cy="622300"/>
                    </a:xfrm>
                    <a:prstGeom prst="rect"/>
                    <a:ln/>
                  </pic:spPr>
                </pic:pic>
              </a:graphicData>
            </a:graphic>
          </wp:anchor>
        </w:drawing>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0.0" w:type="dxa"/>
        <w:left w:w="0.0" w:type="dxa"/>
        <w:bottom w:w="0.0" w:type="dxa"/>
        <w:right w:w="0.0" w:type="dxa"/>
      </w:tblCellMar>
    </w:tblPr>
  </w:style>
  <w:style w:type="table" w:styleId="TableNormal5" w:customStyle="1">
    <w:name w:val="TableNormal"/>
    <w:tblPr>
      <w:tblCellMar>
        <w:top w:w="0.0" w:type="dxa"/>
        <w:left w:w="0.0" w:type="dxa"/>
        <w:bottom w:w="0.0" w:type="dxa"/>
        <w:right w:w="0.0" w:type="dxa"/>
      </w:tblCellMar>
    </w:tblPr>
  </w:style>
  <w:style w:type="table" w:styleId="TableNormal6" w:customStyle="1">
    <w:name w:val="Table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table" w:styleId="TableNormala" w:customStyle="1">
    <w:name w:val="Table Normal"/>
    <w:tblPr>
      <w:tblCellMar>
        <w:top w:w="0.0" w:type="dxa"/>
        <w:left w:w="0.0" w:type="dxa"/>
        <w:bottom w:w="0.0" w:type="dxa"/>
        <w:right w:w="0.0" w:type="dxa"/>
      </w:tblCellMar>
    </w:tblPr>
  </w:style>
  <w:style w:type="table" w:styleId="TableNormalb" w:customStyle="1">
    <w:name w:val="Table Normal"/>
    <w:tblPr>
      <w:tblCellMar>
        <w:top w:w="0.0" w:type="dxa"/>
        <w:left w:w="0.0" w:type="dxa"/>
        <w:bottom w:w="0.0" w:type="dxa"/>
        <w:right w:w="0.0" w:type="dxa"/>
      </w:tblCellMar>
    </w:tblPr>
  </w:style>
  <w:style w:type="table" w:styleId="TableNormalc"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table" w:styleId="a" w:customStyle="1">
    <w:basedOn w:val="TableNormalc"/>
    <w:tblPr>
      <w:tblStyleRowBandSize w:val="1"/>
      <w:tblStyleColBandSize w:val="1"/>
    </w:tblPr>
  </w:style>
  <w:style w:type="table" w:styleId="a0" w:customStyle="1">
    <w:basedOn w:val="TableNormalc"/>
    <w:tblPr>
      <w:tblStyleRowBandSize w:val="1"/>
      <w:tblStyleColBandSize w:val="1"/>
    </w:tblPr>
  </w:style>
  <w:style w:type="table" w:styleId="a1" w:customStyle="1">
    <w:basedOn w:val="TableNormalc"/>
    <w:tblPr>
      <w:tblStyleRowBandSize w:val="1"/>
      <w:tblStyleColBandSize w:val="1"/>
    </w:tblPr>
  </w:style>
  <w:style w:type="table" w:styleId="a2" w:customStyle="1">
    <w:basedOn w:val="TableNormalc"/>
    <w:tblPr>
      <w:tblStyleRowBandSize w:val="1"/>
      <w:tblStyleColBandSize w:val="1"/>
    </w:tblPr>
  </w:style>
  <w:style w:type="table" w:styleId="a3" w:customStyle="1">
    <w:basedOn w:val="TableNormalc"/>
    <w:tblPr>
      <w:tblStyleRowBandSize w:val="1"/>
      <w:tblStyleColBandSize w:val="1"/>
    </w:tblPr>
  </w:style>
  <w:style w:type="table" w:styleId="a4" w:customStyle="1">
    <w:basedOn w:val="TableNormalc"/>
    <w:tblPr>
      <w:tblStyleRowBandSize w:val="1"/>
      <w:tblStyleColBandSize w:val="1"/>
    </w:tblPr>
  </w:style>
  <w:style w:type="table" w:styleId="a5" w:customStyle="1">
    <w:basedOn w:val="TableNormalc"/>
    <w:tblPr>
      <w:tblStyleRowBandSize w:val="1"/>
      <w:tblStyleColBandSize w:val="1"/>
    </w:tblPr>
  </w:style>
  <w:style w:type="table" w:styleId="a6" w:customStyle="1">
    <w:basedOn w:val="TableNormalc"/>
    <w:tblPr>
      <w:tblStyleRowBandSize w:val="1"/>
      <w:tblStyleColBandSize w:val="1"/>
    </w:tblPr>
  </w:style>
  <w:style w:type="table" w:styleId="a7" w:customStyle="1">
    <w:basedOn w:val="TableNormalc"/>
    <w:tblPr>
      <w:tblStyleRowBandSize w:val="1"/>
      <w:tblStyleColBandSize w:val="1"/>
    </w:tblPr>
  </w:style>
  <w:style w:type="table" w:styleId="a8" w:customStyle="1">
    <w:basedOn w:val="TableNormalc"/>
    <w:tblPr>
      <w:tblStyleRowBandSize w:val="1"/>
      <w:tblStyleColBandSize w:val="1"/>
    </w:tblPr>
  </w:style>
  <w:style w:type="table" w:styleId="a9" w:customStyle="1">
    <w:basedOn w:val="TableNormalc"/>
    <w:tblPr>
      <w:tblStyleRowBandSize w:val="1"/>
      <w:tblStyleColBandSize w:val="1"/>
    </w:tblPr>
  </w:style>
  <w:style w:type="table" w:styleId="aa" w:customStyle="1">
    <w:basedOn w:val="TableNormalc"/>
    <w:tblPr>
      <w:tblStyleRowBandSize w:val="1"/>
      <w:tblStyleColBandSize w:val="1"/>
    </w:tblPr>
  </w:style>
  <w:style w:type="table" w:styleId="ab" w:customStyle="1">
    <w:basedOn w:val="TableNormalc"/>
    <w:tblPr>
      <w:tblStyleRowBandSize w:val="1"/>
      <w:tblStyleColBandSize w:val="1"/>
    </w:tblPr>
  </w:style>
  <w:style w:type="table" w:styleId="ac" w:customStyle="1">
    <w:basedOn w:val="TableNormalc"/>
    <w:tblPr>
      <w:tblStyleRowBandSize w:val="1"/>
      <w:tblStyleColBandSize w:val="1"/>
    </w:tblPr>
  </w:style>
  <w:style w:type="table" w:styleId="ad" w:customStyle="1">
    <w:basedOn w:val="TableNormalc"/>
    <w:tblPr>
      <w:tblStyleRowBandSize w:val="1"/>
      <w:tblStyleColBandSize w:val="1"/>
    </w:tblPr>
  </w:style>
  <w:style w:type="table" w:styleId="ae" w:customStyle="1">
    <w:basedOn w:val="TableNormalc"/>
    <w:tblPr>
      <w:tblStyleRowBandSize w:val="1"/>
      <w:tblStyleColBandSize w:val="1"/>
    </w:tblPr>
  </w:style>
  <w:style w:type="table" w:styleId="af" w:customStyle="1">
    <w:basedOn w:val="TableNormalc"/>
    <w:tblPr>
      <w:tblStyleRowBandSize w:val="1"/>
      <w:tblStyleColBandSize w:val="1"/>
    </w:tblPr>
  </w:style>
  <w:style w:type="table" w:styleId="af0" w:customStyle="1">
    <w:basedOn w:val="TableNormalc"/>
    <w:tblPr>
      <w:tblStyleRowBandSize w:val="1"/>
      <w:tblStyleColBandSize w:val="1"/>
    </w:tblPr>
  </w:style>
  <w:style w:type="table" w:styleId="af1" w:customStyle="1">
    <w:basedOn w:val="TableNormalc"/>
    <w:tblPr>
      <w:tblStyleRowBandSize w:val="1"/>
      <w:tblStyleColBandSize w:val="1"/>
    </w:tblPr>
  </w:style>
  <w:style w:type="table" w:styleId="af2" w:customStyle="1">
    <w:basedOn w:val="TableNormalc"/>
    <w:tblPr>
      <w:tblStyleRowBandSize w:val="1"/>
      <w:tblStyleColBandSize w:val="1"/>
    </w:tblPr>
  </w:style>
  <w:style w:type="table" w:styleId="af3" w:customStyle="1">
    <w:basedOn w:val="TableNormalc"/>
    <w:tblPr>
      <w:tblStyleRowBandSize w:val="1"/>
      <w:tblStyleColBandSize w:val="1"/>
    </w:tblPr>
  </w:style>
  <w:style w:type="table" w:styleId="af4" w:customStyle="1">
    <w:basedOn w:val="TableNormalc"/>
    <w:tblPr>
      <w:tblStyleRowBandSize w:val="1"/>
      <w:tblStyleColBandSize w:val="1"/>
    </w:tblPr>
  </w:style>
  <w:style w:type="table" w:styleId="af5" w:customStyle="1">
    <w:basedOn w:val="TableNormalc"/>
    <w:tblPr>
      <w:tblStyleRowBandSize w:val="1"/>
      <w:tblStyleColBandSize w:val="1"/>
    </w:tblPr>
  </w:style>
  <w:style w:type="table" w:styleId="af6" w:customStyle="1">
    <w:basedOn w:val="TableNormalc"/>
    <w:tblPr>
      <w:tblStyleRowBandSize w:val="1"/>
      <w:tblStyleColBandSize w:val="1"/>
    </w:tblPr>
  </w:style>
  <w:style w:type="table" w:styleId="af7" w:customStyle="1">
    <w:basedOn w:val="TableNormalc"/>
    <w:tblPr>
      <w:tblStyleRowBandSize w:val="1"/>
      <w:tblStyleColBandSize w:val="1"/>
    </w:tblPr>
  </w:style>
  <w:style w:type="table" w:styleId="af8" w:customStyle="1">
    <w:basedOn w:val="TableNormalc"/>
    <w:tblPr>
      <w:tblStyleRowBandSize w:val="1"/>
      <w:tblStyleColBandSize w:val="1"/>
    </w:tblPr>
  </w:style>
  <w:style w:type="table" w:styleId="af9" w:customStyle="1">
    <w:basedOn w:val="TableNormalc"/>
    <w:tblPr>
      <w:tblStyleRowBandSize w:val="1"/>
      <w:tblStyleColBandSize w:val="1"/>
    </w:tblPr>
  </w:style>
  <w:style w:type="table" w:styleId="afa" w:customStyle="1">
    <w:basedOn w:val="TableNormalc"/>
    <w:tblPr>
      <w:tblStyleRowBandSize w:val="1"/>
      <w:tblStyleColBandSize w:val="1"/>
    </w:tblPr>
  </w:style>
  <w:style w:type="table" w:styleId="afb" w:customStyle="1">
    <w:basedOn w:val="TableNormal6"/>
    <w:tblPr>
      <w:tblStyleRowBandSize w:val="1"/>
      <w:tblStyleColBandSize w:val="1"/>
    </w:tblPr>
  </w:style>
  <w:style w:type="table" w:styleId="afc" w:customStyle="1">
    <w:basedOn w:val="TableNormal6"/>
    <w:tblPr>
      <w:tblStyleRowBandSize w:val="1"/>
      <w:tblStyleColBandSize w:val="1"/>
    </w:tblPr>
  </w:style>
  <w:style w:type="table" w:styleId="afd" w:customStyle="1">
    <w:basedOn w:val="TableNormal6"/>
    <w:tblPr>
      <w:tblStyleRowBandSize w:val="1"/>
      <w:tblStyleColBandSize w:val="1"/>
    </w:tblPr>
  </w:style>
  <w:style w:type="table" w:styleId="afe" w:customStyle="1">
    <w:basedOn w:val="TableNormal6"/>
    <w:tblPr>
      <w:tblStyleRowBandSize w:val="1"/>
      <w:tblStyleColBandSize w:val="1"/>
    </w:tblPr>
  </w:style>
  <w:style w:type="table" w:styleId="aff" w:customStyle="1">
    <w:basedOn w:val="TableNormal6"/>
    <w:tblPr>
      <w:tblStyleRowBandSize w:val="1"/>
      <w:tblStyleColBandSize w:val="1"/>
    </w:tblPr>
  </w:style>
  <w:style w:type="table" w:styleId="aff0" w:customStyle="1">
    <w:basedOn w:val="TableNormal6"/>
    <w:tblPr>
      <w:tblStyleRowBandSize w:val="1"/>
      <w:tblStyleColBandSize w:val="1"/>
    </w:tblPr>
  </w:style>
  <w:style w:type="table" w:styleId="aff1" w:customStyle="1">
    <w:basedOn w:val="TableNormal6"/>
    <w:tblPr>
      <w:tblStyleRowBandSize w:val="1"/>
      <w:tblStyleColBandSize w:val="1"/>
    </w:tblPr>
  </w:style>
  <w:style w:type="table" w:styleId="aff2" w:customStyle="1">
    <w:basedOn w:val="TableNormal6"/>
    <w:tblPr>
      <w:tblStyleRowBandSize w:val="1"/>
      <w:tblStyleColBandSize w:val="1"/>
    </w:tblPr>
  </w:style>
  <w:style w:type="table" w:styleId="aff3" w:customStyle="1">
    <w:basedOn w:val="TableNormal6"/>
    <w:tblPr>
      <w:tblStyleRowBandSize w:val="1"/>
      <w:tblStyleColBandSize w:val="1"/>
    </w:tblPr>
  </w:style>
  <w:style w:type="table" w:styleId="aff4" w:customStyle="1">
    <w:basedOn w:val="TableNormal6"/>
    <w:tblPr>
      <w:tblStyleRowBandSize w:val="1"/>
      <w:tblStyleColBandSize w:val="1"/>
    </w:tblPr>
  </w:style>
  <w:style w:type="table" w:styleId="aff5" w:customStyle="1">
    <w:basedOn w:val="TableNormal6"/>
    <w:tblPr>
      <w:tblStyleRowBandSize w:val="1"/>
      <w:tblStyleColBandSize w:val="1"/>
    </w:tblPr>
  </w:style>
  <w:style w:type="table" w:styleId="aff6" w:customStyle="1">
    <w:basedOn w:val="TableNormal6"/>
    <w:tblPr>
      <w:tblStyleRowBandSize w:val="1"/>
      <w:tblStyleColBandSize w:val="1"/>
    </w:tblPr>
  </w:style>
  <w:style w:type="table" w:styleId="aff7" w:customStyle="1">
    <w:basedOn w:val="TableNormal3"/>
    <w:tblPr>
      <w:tblStyleRowBandSize w:val="1"/>
      <w:tblStyleColBandSize w:val="1"/>
      <w:tblCellMar>
        <w:top w:w="0.0" w:type="dxa"/>
        <w:left w:w="0.0" w:type="dxa"/>
        <w:bottom w:w="0.0" w:type="dxa"/>
        <w:right w:w="0.0" w:type="dxa"/>
      </w:tblCellMar>
    </w:tblPr>
  </w:style>
  <w:style w:type="table" w:styleId="aff8" w:customStyle="1">
    <w:basedOn w:val="TableNormal3"/>
    <w:tblPr>
      <w:tblStyleRowBandSize w:val="1"/>
      <w:tblStyleColBandSize w:val="1"/>
      <w:tblCellMar>
        <w:top w:w="0.0" w:type="dxa"/>
        <w:left w:w="0.0" w:type="dxa"/>
        <w:bottom w:w="0.0" w:type="dxa"/>
        <w:right w:w="0.0" w:type="dxa"/>
      </w:tblCellMar>
    </w:tblPr>
  </w:style>
  <w:style w:type="table" w:styleId="aff9" w:customStyle="1">
    <w:basedOn w:val="TableNormal3"/>
    <w:tblPr>
      <w:tblStyleRowBandSize w:val="1"/>
      <w:tblStyleColBandSize w:val="1"/>
      <w:tblCellMar>
        <w:top w:w="0.0" w:type="dxa"/>
        <w:left w:w="0.0" w:type="dxa"/>
        <w:bottom w:w="0.0" w:type="dxa"/>
        <w:right w:w="0.0" w:type="dxa"/>
      </w:tblCellMar>
    </w:tblPr>
  </w:style>
  <w:style w:type="table" w:styleId="affa" w:customStyle="1">
    <w:basedOn w:val="TableNormal3"/>
    <w:tblPr>
      <w:tblStyleRowBandSize w:val="1"/>
      <w:tblStyleColBandSize w:val="1"/>
      <w:tblCellMar>
        <w:top w:w="0.0" w:type="dxa"/>
        <w:left w:w="0.0" w:type="dxa"/>
        <w:bottom w:w="0.0" w:type="dxa"/>
        <w:right w:w="0.0" w:type="dxa"/>
      </w:tblCellMar>
    </w:tblPr>
  </w:style>
  <w:style w:type="table" w:styleId="affb" w:customStyle="1">
    <w:basedOn w:val="TableNormal3"/>
    <w:tblPr>
      <w:tblStyleRowBandSize w:val="1"/>
      <w:tblStyleColBandSize w:val="1"/>
      <w:tblCellMar>
        <w:top w:w="0.0" w:type="dxa"/>
        <w:left w:w="0.0" w:type="dxa"/>
        <w:bottom w:w="0.0" w:type="dxa"/>
        <w:right w:w="0.0" w:type="dxa"/>
      </w:tblCellMar>
    </w:tblPr>
  </w:style>
  <w:style w:type="table" w:styleId="affc" w:customStyle="1">
    <w:basedOn w:val="TableNormal3"/>
    <w:tblPr>
      <w:tblStyleRowBandSize w:val="1"/>
      <w:tblStyleColBandSize w:val="1"/>
      <w:tblCellMar>
        <w:top w:w="0.0" w:type="dxa"/>
        <w:left w:w="0.0" w:type="dxa"/>
        <w:bottom w:w="0.0" w:type="dxa"/>
        <w:right w:w="0.0" w:type="dxa"/>
      </w:tblCellMar>
    </w:tblPr>
  </w:style>
  <w:style w:type="table" w:styleId="affd" w:customStyle="1">
    <w:basedOn w:val="TableNormal3"/>
    <w:tblPr>
      <w:tblStyleRowBandSize w:val="1"/>
      <w:tblStyleColBandSize w:val="1"/>
      <w:tblCellMar>
        <w:top w:w="0.0" w:type="dxa"/>
        <w:left w:w="0.0" w:type="dxa"/>
        <w:bottom w:w="0.0" w:type="dxa"/>
        <w:right w:w="0.0" w:type="dxa"/>
      </w:tblCellMar>
    </w:tblPr>
  </w:style>
  <w:style w:type="table" w:styleId="affe" w:customStyle="1">
    <w:basedOn w:val="TableNormal3"/>
    <w:tblPr>
      <w:tblStyleRowBandSize w:val="1"/>
      <w:tblStyleColBandSize w:val="1"/>
      <w:tblCellMar>
        <w:top w:w="0.0" w:type="dxa"/>
        <w:left w:w="0.0" w:type="dxa"/>
        <w:bottom w:w="0.0" w:type="dxa"/>
        <w:right w:w="0.0" w:type="dxa"/>
      </w:tblCellMar>
    </w:tblPr>
  </w:style>
  <w:style w:type="table" w:styleId="afff" w:customStyle="1">
    <w:basedOn w:val="TableNormal3"/>
    <w:tblPr>
      <w:tblStyleRowBandSize w:val="1"/>
      <w:tblStyleColBandSize w:val="1"/>
      <w:tblCellMar>
        <w:top w:w="0.0" w:type="dxa"/>
        <w:left w:w="0.0" w:type="dxa"/>
        <w:bottom w:w="0.0" w:type="dxa"/>
        <w:right w:w="0.0" w:type="dxa"/>
      </w:tblCellMar>
    </w:tblPr>
  </w:style>
  <w:style w:type="table" w:styleId="afff0" w:customStyle="1">
    <w:basedOn w:val="TableNormal3"/>
    <w:tblPr>
      <w:tblStyleRowBandSize w:val="1"/>
      <w:tblStyleColBandSize w:val="1"/>
      <w:tblCellMar>
        <w:top w:w="0.0" w:type="dxa"/>
        <w:left w:w="0.0" w:type="dxa"/>
        <w:bottom w:w="0.0" w:type="dxa"/>
        <w:right w:w="0.0" w:type="dxa"/>
      </w:tblCellMar>
    </w:tblPr>
  </w:style>
  <w:style w:type="table" w:styleId="afff1" w:customStyle="1">
    <w:basedOn w:val="TableNormal3"/>
    <w:tblPr>
      <w:tblStyleRowBandSize w:val="1"/>
      <w:tblStyleColBandSize w:val="1"/>
      <w:tblCellMar>
        <w:top w:w="0.0" w:type="dxa"/>
        <w:left w:w="0.0" w:type="dxa"/>
        <w:bottom w:w="0.0" w:type="dxa"/>
        <w:right w:w="0.0" w:type="dxa"/>
      </w:tblCellMar>
    </w:tblPr>
  </w:style>
  <w:style w:type="table" w:styleId="afff2" w:customStyle="1">
    <w:basedOn w:val="TableNormal3"/>
    <w:tblPr>
      <w:tblStyleRowBandSize w:val="1"/>
      <w:tblStyleColBandSize w:val="1"/>
      <w:tblCellMar>
        <w:top w:w="0.0" w:type="dxa"/>
        <w:left w:w="0.0" w:type="dxa"/>
        <w:bottom w:w="0.0" w:type="dxa"/>
        <w:right w:w="0.0" w:type="dxa"/>
      </w:tblCellMar>
    </w:tblPr>
  </w:style>
  <w:style w:type="table" w:styleId="afff3" w:customStyle="1">
    <w:basedOn w:val="TableNormal3"/>
    <w:tblPr>
      <w:tblStyleRowBandSize w:val="1"/>
      <w:tblStyleColBandSize w:val="1"/>
      <w:tblCellMar>
        <w:top w:w="0.0" w:type="dxa"/>
        <w:left w:w="0.0" w:type="dxa"/>
        <w:bottom w:w="0.0" w:type="dxa"/>
        <w:right w:w="0.0" w:type="dxa"/>
      </w:tblCellMar>
    </w:tblPr>
  </w:style>
  <w:style w:type="table" w:styleId="afff4" w:customStyle="1">
    <w:basedOn w:val="TableNormal3"/>
    <w:tblPr>
      <w:tblStyleRowBandSize w:val="1"/>
      <w:tblStyleColBandSize w:val="1"/>
      <w:tblCellMar>
        <w:top w:w="0.0" w:type="dxa"/>
        <w:left w:w="0.0" w:type="dxa"/>
        <w:bottom w:w="0.0" w:type="dxa"/>
        <w:right w:w="0.0" w:type="dxa"/>
      </w:tblCellMar>
    </w:tblPr>
  </w:style>
  <w:style w:type="table" w:styleId="afff5" w:customStyle="1">
    <w:basedOn w:val="TableNormal3"/>
    <w:tblPr>
      <w:tblStyleRowBandSize w:val="1"/>
      <w:tblStyleColBandSize w:val="1"/>
      <w:tblCellMar>
        <w:top w:w="0.0" w:type="dxa"/>
        <w:left w:w="0.0" w:type="dxa"/>
        <w:bottom w:w="0.0" w:type="dxa"/>
        <w:right w:w="0.0" w:type="dxa"/>
      </w:tblCellMar>
    </w:tblPr>
  </w:style>
  <w:style w:type="table" w:styleId="afff6" w:customStyle="1">
    <w:basedOn w:val="TableNormal3"/>
    <w:tblPr>
      <w:tblStyleRowBandSize w:val="1"/>
      <w:tblStyleColBandSize w:val="1"/>
      <w:tblCellMar>
        <w:top w:w="0.0" w:type="dxa"/>
        <w:left w:w="0.0" w:type="dxa"/>
        <w:bottom w:w="0.0" w:type="dxa"/>
        <w:right w:w="0.0" w:type="dxa"/>
      </w:tblCellMar>
    </w:tblPr>
  </w:style>
  <w:style w:type="character" w:styleId="Mencinsinresolver">
    <w:name w:val="Unresolved Mention"/>
    <w:basedOn w:val="Fuentedeprrafopredeter"/>
    <w:uiPriority w:val="99"/>
    <w:semiHidden w:val="1"/>
    <w:unhideWhenUsed w:val="1"/>
    <w:rsid w:val="0020097F"/>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folders/14wHXTFYx_LobmN79w2lcKAE9t9koQnOo?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jJlpaMA85WGiRb7jpn7blTVFQQ==">CgMxLjAyCGguZ2pkZ3hzMg5oLndzcHEwcm1sZTdkODIOaC5zZHgxZ3FoZWsyMW04AHIhMW9MMUlIZlR5cFF3di1iOHlOdlhJVU5lMlk0Qms3d29B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2025-12-06T17:23:00Z</dcterms:created>
  <dc:creator>LEYDHER</dc:creator>
</cp:coreProperties>
</file>